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58" w:type="dxa"/>
        <w:tblInd w:w="-142" w:type="dxa"/>
        <w:tblLayout w:type="fixed"/>
        <w:tblCellMar>
          <w:left w:w="10" w:type="dxa"/>
          <w:right w:w="10" w:type="dxa"/>
        </w:tblCellMar>
        <w:tblLook w:val="0000"/>
      </w:tblPr>
      <w:tblGrid>
        <w:gridCol w:w="37"/>
        <w:gridCol w:w="10"/>
        <w:gridCol w:w="10301"/>
        <w:gridCol w:w="10"/>
      </w:tblGrid>
      <w:tr w:rsidR="002D05B8" w:rsidTr="000E5BBE">
        <w:tblPrEx>
          <w:tblCellMar>
            <w:top w:w="0" w:type="dxa"/>
            <w:bottom w:w="0" w:type="dxa"/>
          </w:tblCellMar>
        </w:tblPrEx>
        <w:trPr>
          <w:gridAfter w:val="1"/>
          <w:wAfter w:w="10" w:type="dxa"/>
        </w:trPr>
        <w:tc>
          <w:tcPr>
            <w:tcW w:w="10348" w:type="dxa"/>
            <w:gridSpan w:val="3"/>
            <w:tcBorders>
              <w:top w:val="nil"/>
              <w:left w:val="nil"/>
              <w:bottom w:val="nil"/>
              <w:right w:val="nil"/>
            </w:tcBorders>
            <w:shd w:val="clear" w:color="auto" w:fill="FFFFFF"/>
          </w:tcPr>
          <w:p w:rsidR="002D05B8" w:rsidRDefault="002D05B8" w:rsidP="000E5BBE">
            <w:pPr>
              <w:widowControl w:val="0"/>
              <w:autoSpaceDE w:val="0"/>
              <w:autoSpaceDN w:val="0"/>
              <w:adjustRightInd w:val="0"/>
              <w:spacing w:after="0" w:line="240" w:lineRule="auto"/>
              <w:jc w:val="center"/>
              <w:rPr>
                <w:rFonts w:ascii="Calibri" w:hAnsi="Calibri" w:cs="Calibri"/>
              </w:rPr>
            </w:pPr>
            <w:r>
              <w:rPr>
                <w:rFonts w:ascii="Calibri" w:hAnsi="Calibri" w:cs="Calibri"/>
                <w:noProof/>
              </w:rPr>
              <w:drawing>
                <wp:inline distT="0" distB="0" distL="0" distR="0">
                  <wp:extent cx="449580" cy="60960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449580" cy="609600"/>
                          </a:xfrm>
                          <a:prstGeom prst="rect">
                            <a:avLst/>
                          </a:prstGeom>
                          <a:noFill/>
                          <a:ln w="9525">
                            <a:noFill/>
                            <a:miter lim="800000"/>
                            <a:headEnd/>
                            <a:tailEnd/>
                          </a:ln>
                        </pic:spPr>
                      </pic:pic>
                    </a:graphicData>
                  </a:graphic>
                </wp:inline>
              </w:drawing>
            </w:r>
          </w:p>
          <w:p w:rsidR="002D05B8" w:rsidRDefault="002D05B8" w:rsidP="000E5B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УКРАЇНА</w:t>
            </w:r>
          </w:p>
          <w:p w:rsidR="002D05B8" w:rsidRDefault="002D05B8" w:rsidP="000E5B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ВЕЛИКОЖИТИНСЬКА СІЛЬСЬКА РАДА</w:t>
            </w:r>
          </w:p>
          <w:p w:rsidR="002D05B8" w:rsidRDefault="002D05B8" w:rsidP="000E5BB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РІВНЕНСЬКОГО РАЙОНУ РІВНЕНСЬКОЇ ОБЛАСТІ</w:t>
            </w:r>
          </w:p>
          <w:p w:rsidR="002D05B8" w:rsidRDefault="002D05B8" w:rsidP="000E5BBE">
            <w:pPr>
              <w:widowControl w:val="0"/>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(сьоме скликання)</w:t>
            </w:r>
          </w:p>
          <w:p w:rsidR="002D05B8" w:rsidRDefault="002D05B8" w:rsidP="000E5BBE">
            <w:pPr>
              <w:widowControl w:val="0"/>
              <w:autoSpaceDE w:val="0"/>
              <w:autoSpaceDN w:val="0"/>
              <w:adjustRightInd w:val="0"/>
              <w:jc w:val="center"/>
              <w:rPr>
                <w:rFonts w:ascii="Times New Roman CYR" w:hAnsi="Times New Roman CYR" w:cs="Times New Roman CYR"/>
                <w:b/>
                <w:bCs/>
                <w:sz w:val="24"/>
                <w:szCs w:val="24"/>
              </w:rPr>
            </w:pPr>
          </w:p>
          <w:p w:rsidR="002D05B8" w:rsidRDefault="002D05B8" w:rsidP="000E5BBE">
            <w:pPr>
              <w:widowControl w:val="0"/>
              <w:tabs>
                <w:tab w:val="left" w:pos="3930"/>
              </w:tabs>
              <w:autoSpaceDE w:val="0"/>
              <w:autoSpaceDN w:val="0"/>
              <w:adjustRightInd w:val="0"/>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РІШЕННЯ №187</w:t>
            </w:r>
          </w:p>
          <w:p w:rsidR="002D05B8" w:rsidRDefault="002D05B8" w:rsidP="000E5BBE">
            <w:pPr>
              <w:widowControl w:val="0"/>
              <w:tabs>
                <w:tab w:val="left" w:pos="3930"/>
                <w:tab w:val="center" w:pos="4818"/>
              </w:tabs>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sz w:val="24"/>
                <w:szCs w:val="24"/>
              </w:rPr>
              <w:t xml:space="preserve">від    06 липня 2016року                                                                          </w:t>
            </w:r>
          </w:p>
          <w:p w:rsidR="002D05B8" w:rsidRDefault="002D05B8" w:rsidP="000E5BBE">
            <w:pPr>
              <w:widowControl w:val="0"/>
              <w:autoSpaceDE w:val="0"/>
              <w:autoSpaceDN w:val="0"/>
              <w:adjustRightInd w:val="0"/>
              <w:rPr>
                <w:rFonts w:ascii="Times New Roman CYR" w:hAnsi="Times New Roman CYR" w:cs="Times New Roman CYR"/>
                <w:color w:val="333333"/>
                <w:sz w:val="24"/>
                <w:szCs w:val="24"/>
              </w:rPr>
            </w:pPr>
          </w:p>
        </w:tc>
      </w:tr>
      <w:tr w:rsidR="002D05B8" w:rsidTr="000E5BBE">
        <w:tblPrEx>
          <w:tblCellMar>
            <w:top w:w="0" w:type="dxa"/>
            <w:bottom w:w="0" w:type="dxa"/>
          </w:tblCellMar>
        </w:tblPrEx>
        <w:trPr>
          <w:gridBefore w:val="1"/>
          <w:gridAfter w:val="1"/>
          <w:wBefore w:w="37" w:type="dxa"/>
          <w:wAfter w:w="10" w:type="dxa"/>
        </w:trPr>
        <w:tc>
          <w:tcPr>
            <w:tcW w:w="10311" w:type="dxa"/>
            <w:gridSpan w:val="2"/>
            <w:tcBorders>
              <w:top w:val="nil"/>
              <w:left w:val="nil"/>
              <w:bottom w:val="nil"/>
              <w:right w:val="nil"/>
            </w:tcBorders>
            <w:shd w:val="clear" w:color="auto" w:fill="FFFFFF"/>
          </w:tcPr>
          <w:p w:rsidR="002D05B8" w:rsidRDefault="002D05B8" w:rsidP="000E5BBE">
            <w:pPr>
              <w:widowControl w:val="0"/>
              <w:autoSpaceDE w:val="0"/>
              <w:autoSpaceDN w:val="0"/>
              <w:adjustRightInd w:val="0"/>
              <w:spacing w:after="0"/>
              <w:jc w:val="both"/>
              <w:rPr>
                <w:rFonts w:ascii="Times New Roman CYR" w:hAnsi="Times New Roman CYR" w:cs="Times New Roman CYR"/>
                <w:b/>
                <w:bCs/>
                <w:color w:val="333333"/>
                <w:sz w:val="24"/>
                <w:szCs w:val="24"/>
              </w:rPr>
            </w:pPr>
            <w:r>
              <w:rPr>
                <w:rFonts w:ascii="Times New Roman CYR" w:hAnsi="Times New Roman CYR" w:cs="Times New Roman CYR"/>
                <w:b/>
                <w:bCs/>
                <w:color w:val="333333"/>
                <w:sz w:val="24"/>
                <w:szCs w:val="24"/>
              </w:rPr>
              <w:t>Звіт про виконання сільського</w:t>
            </w:r>
          </w:p>
          <w:p w:rsidR="002D05B8" w:rsidRDefault="002D05B8" w:rsidP="000E5BBE">
            <w:pPr>
              <w:widowControl w:val="0"/>
              <w:autoSpaceDE w:val="0"/>
              <w:autoSpaceDN w:val="0"/>
              <w:adjustRightInd w:val="0"/>
              <w:spacing w:after="0"/>
              <w:jc w:val="both"/>
              <w:rPr>
                <w:rFonts w:ascii="Times New Roman CYR" w:hAnsi="Times New Roman CYR" w:cs="Times New Roman CYR"/>
                <w:b/>
                <w:bCs/>
                <w:color w:val="333333"/>
                <w:sz w:val="24"/>
                <w:szCs w:val="24"/>
              </w:rPr>
            </w:pPr>
            <w:r>
              <w:rPr>
                <w:rFonts w:ascii="Times New Roman CYR" w:hAnsi="Times New Roman CYR" w:cs="Times New Roman CYR"/>
                <w:b/>
                <w:bCs/>
                <w:color w:val="333333"/>
                <w:sz w:val="24"/>
                <w:szCs w:val="24"/>
              </w:rPr>
              <w:t xml:space="preserve"> бюджету за  І півріччя 2016 рік</w:t>
            </w:r>
          </w:p>
          <w:p w:rsidR="002D05B8" w:rsidRDefault="002D05B8" w:rsidP="000E5BBE">
            <w:pPr>
              <w:widowControl w:val="0"/>
              <w:autoSpaceDE w:val="0"/>
              <w:autoSpaceDN w:val="0"/>
              <w:adjustRightInd w:val="0"/>
              <w:jc w:val="both"/>
              <w:rPr>
                <w:rFonts w:ascii="Times New Roman CYR" w:hAnsi="Times New Roman CYR" w:cs="Times New Roman CYR"/>
                <w:b/>
                <w:bCs/>
                <w:color w:val="333333"/>
                <w:sz w:val="24"/>
                <w:szCs w:val="24"/>
              </w:rPr>
            </w:pPr>
          </w:p>
          <w:p w:rsidR="002D05B8" w:rsidRDefault="002D05B8" w:rsidP="000E5BBE">
            <w:pPr>
              <w:widowControl w:val="0"/>
              <w:autoSpaceDE w:val="0"/>
              <w:autoSpaceDN w:val="0"/>
              <w:adjustRightInd w:val="0"/>
              <w:spacing w:after="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Заслухавши та обговоривши звіт головного бухгалтера сільської ради про виконання сільського бюджету за І півріччя 2016 року, сільська  рада констатує, що до загального фонду сільського бюджету (без урахування міжбюджетних трансфертів) надійшло 2274242,84грн доходів.</w:t>
            </w:r>
          </w:p>
          <w:p w:rsidR="002D05B8" w:rsidRDefault="002D05B8" w:rsidP="000E5BBE">
            <w:pPr>
              <w:widowControl w:val="0"/>
              <w:autoSpaceDE w:val="0"/>
              <w:autoSpaceDN w:val="0"/>
              <w:adjustRightInd w:val="0"/>
              <w:spacing w:after="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Виконання затвердженого на звітний період плану забезпечено на 203,8 відсотка, або до бюджету  надійшло 1158116,84 </w:t>
            </w:r>
            <w:proofErr w:type="spellStart"/>
            <w:r>
              <w:rPr>
                <w:rFonts w:ascii="Times New Roman CYR" w:hAnsi="Times New Roman CYR" w:cs="Times New Roman CYR"/>
                <w:color w:val="333333"/>
                <w:sz w:val="24"/>
                <w:szCs w:val="24"/>
              </w:rPr>
              <w:t>грн</w:t>
            </w:r>
            <w:proofErr w:type="spellEnd"/>
            <w:r>
              <w:rPr>
                <w:rFonts w:ascii="Times New Roman CYR" w:hAnsi="Times New Roman CYR" w:cs="Times New Roman CYR"/>
                <w:color w:val="333333"/>
                <w:sz w:val="24"/>
                <w:szCs w:val="24"/>
              </w:rPr>
              <w:t>  понад планових надходжень.</w:t>
            </w:r>
          </w:p>
          <w:p w:rsidR="002D05B8" w:rsidRDefault="002D05B8" w:rsidP="000E5BBE">
            <w:pPr>
              <w:widowControl w:val="0"/>
              <w:autoSpaceDE w:val="0"/>
              <w:autoSpaceDN w:val="0"/>
              <w:adjustRightInd w:val="0"/>
              <w:spacing w:after="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До спеціального фонду сільського бюджету надійшло 88084,21 грн.</w:t>
            </w:r>
          </w:p>
          <w:p w:rsidR="002D05B8" w:rsidRDefault="002D05B8" w:rsidP="000E5BBE">
            <w:pPr>
              <w:widowControl w:val="0"/>
              <w:autoSpaceDE w:val="0"/>
              <w:autoSpaceDN w:val="0"/>
              <w:adjustRightInd w:val="0"/>
              <w:spacing w:after="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Протягом І півріччя 2016 року з загального фонду сільського бюджету</w:t>
            </w:r>
            <w:r>
              <w:rPr>
                <w:rFonts w:ascii="Times New Roman CYR" w:hAnsi="Times New Roman CYR" w:cs="Times New Roman CYR"/>
                <w:b/>
                <w:bCs/>
                <w:color w:val="333333"/>
                <w:sz w:val="24"/>
                <w:szCs w:val="24"/>
              </w:rPr>
              <w:t> </w:t>
            </w:r>
            <w:r>
              <w:rPr>
                <w:rFonts w:ascii="Times New Roman CYR" w:hAnsi="Times New Roman CYR" w:cs="Times New Roman CYR"/>
                <w:color w:val="333333"/>
                <w:sz w:val="24"/>
                <w:szCs w:val="24"/>
              </w:rPr>
              <w:t xml:space="preserve">проведено видатків всього на суму  1221518,77грн, або 76,9 відсотки до уточнених призначень на звітний період. В структурі видатків загального фонду видатки на заробітну плату з нарахуваннями складають 435616,09грн або 63,0 відсотків , на поточне утримання установ, придбання предметів, матеріалів і послуг використано 242766,97 </w:t>
            </w:r>
            <w:proofErr w:type="spellStart"/>
            <w:r>
              <w:rPr>
                <w:rFonts w:ascii="Times New Roman CYR" w:hAnsi="Times New Roman CYR" w:cs="Times New Roman CYR"/>
                <w:color w:val="333333"/>
                <w:sz w:val="24"/>
                <w:szCs w:val="24"/>
              </w:rPr>
              <w:t>грн</w:t>
            </w:r>
            <w:proofErr w:type="spellEnd"/>
            <w:r>
              <w:rPr>
                <w:rFonts w:ascii="Times New Roman CYR" w:hAnsi="Times New Roman CYR" w:cs="Times New Roman CYR"/>
                <w:color w:val="333333"/>
                <w:sz w:val="24"/>
                <w:szCs w:val="24"/>
              </w:rPr>
              <w:t xml:space="preserve">, або 19,8 відсотка, на оплату спожитих комунальних послуг і енергоносіїв профінансовано 165091,74 </w:t>
            </w:r>
            <w:proofErr w:type="spellStart"/>
            <w:r>
              <w:rPr>
                <w:rFonts w:ascii="Times New Roman CYR" w:hAnsi="Times New Roman CYR" w:cs="Times New Roman CYR"/>
                <w:color w:val="333333"/>
                <w:sz w:val="24"/>
                <w:szCs w:val="24"/>
              </w:rPr>
              <w:t>грн</w:t>
            </w:r>
            <w:proofErr w:type="spellEnd"/>
            <w:r>
              <w:rPr>
                <w:rFonts w:ascii="Times New Roman CYR" w:hAnsi="Times New Roman CYR" w:cs="Times New Roman CYR"/>
                <w:color w:val="333333"/>
                <w:sz w:val="24"/>
                <w:szCs w:val="24"/>
              </w:rPr>
              <w:t xml:space="preserve">, або 13,5 відсотка. </w:t>
            </w:r>
          </w:p>
          <w:p w:rsidR="002D05B8" w:rsidRDefault="002D05B8" w:rsidP="000E5BBE">
            <w:pPr>
              <w:widowControl w:val="0"/>
              <w:autoSpaceDE w:val="0"/>
              <w:autoSpaceDN w:val="0"/>
              <w:adjustRightInd w:val="0"/>
              <w:spacing w:after="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За рахунок коштів спеціального фонду бюджету проведено видатків на      суму 546064,85 грн. Проведено капітальних вкладень на суму 78079,71грн.  Видатки на утримання доріг склали 37268,00 грн. Передано інших субвенцій на суму  305000,00 грн.</w:t>
            </w:r>
          </w:p>
          <w:p w:rsidR="002D05B8" w:rsidRDefault="002D05B8" w:rsidP="000E5BBE">
            <w:pPr>
              <w:widowControl w:val="0"/>
              <w:autoSpaceDE w:val="0"/>
              <w:autoSpaceDN w:val="0"/>
              <w:adjustRightInd w:val="0"/>
              <w:spacing w:after="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Відповідно до пункту 4 статті 80 Бюджетного кодексу України, керуючись частиною 1.23 статті 26 Закону України «Про місцеве самоврядування в Україні», за погодженням з постійними комісіями сільської  ради, сільська  рада</w:t>
            </w:r>
          </w:p>
          <w:p w:rsidR="002D05B8" w:rsidRDefault="002D05B8" w:rsidP="000E5BBE">
            <w:pPr>
              <w:widowControl w:val="0"/>
              <w:autoSpaceDE w:val="0"/>
              <w:autoSpaceDN w:val="0"/>
              <w:adjustRightInd w:val="0"/>
              <w:jc w:val="center"/>
              <w:rPr>
                <w:rFonts w:ascii="Times New Roman CYR" w:hAnsi="Times New Roman CYR" w:cs="Times New Roman CYR"/>
                <w:color w:val="333333"/>
                <w:sz w:val="24"/>
                <w:szCs w:val="24"/>
              </w:rPr>
            </w:pPr>
            <w:r>
              <w:rPr>
                <w:rFonts w:ascii="Times New Roman CYR" w:hAnsi="Times New Roman CYR" w:cs="Times New Roman CYR"/>
                <w:b/>
                <w:bCs/>
                <w:color w:val="333333"/>
                <w:sz w:val="24"/>
                <w:szCs w:val="24"/>
              </w:rPr>
              <w:t>в и р і ш и л а :</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1. Затвердити звіт про виконання сільського бюджету за І півріччя 2016 року:</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1.1.         По загальному фонду:</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по  доходах в сумі 2558491,84  </w:t>
            </w:r>
            <w:proofErr w:type="spellStart"/>
            <w:r>
              <w:rPr>
                <w:rFonts w:ascii="Times New Roman CYR" w:hAnsi="Times New Roman CYR" w:cs="Times New Roman CYR"/>
                <w:color w:val="333333"/>
                <w:sz w:val="24"/>
                <w:szCs w:val="24"/>
              </w:rPr>
              <w:t>грн</w:t>
            </w:r>
            <w:proofErr w:type="spellEnd"/>
            <w:r>
              <w:rPr>
                <w:rFonts w:ascii="Times New Roman CYR" w:hAnsi="Times New Roman CYR" w:cs="Times New Roman CYR"/>
                <w:color w:val="333333"/>
                <w:sz w:val="24"/>
                <w:szCs w:val="24"/>
              </w:rPr>
              <w:t xml:space="preserve"> (додаток 1),</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по видатках в сумі 1221518,77 </w:t>
            </w:r>
            <w:proofErr w:type="spellStart"/>
            <w:r>
              <w:rPr>
                <w:rFonts w:ascii="Times New Roman CYR" w:hAnsi="Times New Roman CYR" w:cs="Times New Roman CYR"/>
                <w:color w:val="333333"/>
                <w:sz w:val="24"/>
                <w:szCs w:val="24"/>
              </w:rPr>
              <w:t>грн</w:t>
            </w:r>
            <w:proofErr w:type="spellEnd"/>
            <w:r>
              <w:rPr>
                <w:rFonts w:ascii="Times New Roman CYR" w:hAnsi="Times New Roman CYR" w:cs="Times New Roman CYR"/>
                <w:color w:val="333333"/>
                <w:sz w:val="24"/>
                <w:szCs w:val="24"/>
              </w:rPr>
              <w:t xml:space="preserve"> (додаток 2),</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lastRenderedPageBreak/>
              <w:t>з перевищенням доходів над видатками  на 1336973,07 грн.</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1.2.         По спеціальному фонду:</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по доходах в сумі  88084,21 </w:t>
            </w:r>
            <w:proofErr w:type="spellStart"/>
            <w:r>
              <w:rPr>
                <w:rFonts w:ascii="Times New Roman CYR" w:hAnsi="Times New Roman CYR" w:cs="Times New Roman CYR"/>
                <w:color w:val="333333"/>
                <w:sz w:val="24"/>
                <w:szCs w:val="24"/>
              </w:rPr>
              <w:t>грн</w:t>
            </w:r>
            <w:proofErr w:type="spellEnd"/>
            <w:r>
              <w:rPr>
                <w:rFonts w:ascii="Times New Roman CYR" w:hAnsi="Times New Roman CYR" w:cs="Times New Roman CYR"/>
                <w:color w:val="333333"/>
                <w:sz w:val="24"/>
                <w:szCs w:val="24"/>
              </w:rPr>
              <w:t xml:space="preserve"> (додаток 3),</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 по видатках в сумі 546064,85 </w:t>
            </w:r>
            <w:proofErr w:type="spellStart"/>
            <w:r>
              <w:rPr>
                <w:rFonts w:ascii="Times New Roman CYR" w:hAnsi="Times New Roman CYR" w:cs="Times New Roman CYR"/>
                <w:color w:val="333333"/>
                <w:sz w:val="24"/>
                <w:szCs w:val="24"/>
              </w:rPr>
              <w:t>грн</w:t>
            </w:r>
            <w:proofErr w:type="spellEnd"/>
            <w:r>
              <w:rPr>
                <w:rFonts w:ascii="Times New Roman CYR" w:hAnsi="Times New Roman CYR" w:cs="Times New Roman CYR"/>
                <w:color w:val="333333"/>
                <w:sz w:val="24"/>
                <w:szCs w:val="24"/>
              </w:rPr>
              <w:t xml:space="preserve"> (додаток 4),</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з перевищенням видатків над доходами на  457980,64грн.</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2. Контроль за виконанням рішення покласти на постійну комісію сільської ради з питань бюджету, фінансів та податків .</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 xml:space="preserve">3. Додатки 1-4 до цього рішення є його </w:t>
            </w:r>
            <w:proofErr w:type="spellStart"/>
            <w:r>
              <w:rPr>
                <w:rFonts w:ascii="Times New Roman CYR" w:hAnsi="Times New Roman CYR" w:cs="Times New Roman CYR"/>
                <w:color w:val="333333"/>
                <w:sz w:val="24"/>
                <w:szCs w:val="24"/>
              </w:rPr>
              <w:t>невід»ємною</w:t>
            </w:r>
            <w:proofErr w:type="spellEnd"/>
            <w:r>
              <w:rPr>
                <w:rFonts w:ascii="Times New Roman CYR" w:hAnsi="Times New Roman CYR" w:cs="Times New Roman CYR"/>
                <w:color w:val="333333"/>
                <w:sz w:val="24"/>
                <w:szCs w:val="24"/>
              </w:rPr>
              <w:t xml:space="preserve"> частиною.</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r>
              <w:rPr>
                <w:rFonts w:ascii="Times New Roman CYR" w:hAnsi="Times New Roman CYR" w:cs="Times New Roman CYR"/>
                <w:color w:val="333333"/>
                <w:sz w:val="24"/>
                <w:szCs w:val="24"/>
              </w:rPr>
              <w:t>Сільський голова                                                                             Хома Л.Г.</w:t>
            </w:r>
          </w:p>
          <w:p w:rsidR="002D05B8" w:rsidRDefault="002D05B8" w:rsidP="000E5BBE">
            <w:pPr>
              <w:widowControl w:val="0"/>
              <w:autoSpaceDE w:val="0"/>
              <w:autoSpaceDN w:val="0"/>
              <w:adjustRightInd w:val="0"/>
              <w:jc w:val="both"/>
              <w:rPr>
                <w:rFonts w:ascii="Times New Roman CYR" w:hAnsi="Times New Roman CYR" w:cs="Times New Roman CYR"/>
                <w:color w:val="333333"/>
                <w:sz w:val="24"/>
                <w:szCs w:val="24"/>
              </w:rPr>
            </w:pPr>
          </w:p>
        </w:tc>
      </w:tr>
      <w:tr w:rsidR="002D05B8" w:rsidTr="000E5BBE">
        <w:tblPrEx>
          <w:tblCellMar>
            <w:top w:w="0" w:type="dxa"/>
            <w:bottom w:w="0" w:type="dxa"/>
          </w:tblCellMar>
        </w:tblPrEx>
        <w:trPr>
          <w:gridBefore w:val="2"/>
          <w:wBefore w:w="47" w:type="dxa"/>
        </w:trPr>
        <w:tc>
          <w:tcPr>
            <w:tcW w:w="10311" w:type="dxa"/>
            <w:gridSpan w:val="2"/>
            <w:tcBorders>
              <w:top w:val="nil"/>
              <w:left w:val="nil"/>
              <w:bottom w:val="nil"/>
              <w:right w:val="nil"/>
            </w:tcBorders>
            <w:shd w:val="clear" w:color="auto" w:fill="FFFFFF"/>
          </w:tcPr>
          <w:p w:rsidR="002D05B8" w:rsidRDefault="002D05B8" w:rsidP="000E5BBE">
            <w:pPr>
              <w:widowControl w:val="0"/>
              <w:autoSpaceDE w:val="0"/>
              <w:autoSpaceDN w:val="0"/>
              <w:adjustRightInd w:val="0"/>
              <w:jc w:val="both"/>
              <w:rPr>
                <w:rFonts w:ascii="Times New Roman CYR" w:hAnsi="Times New Roman CYR" w:cs="Times New Roman CYR"/>
                <w:b/>
                <w:bCs/>
                <w:color w:val="333333"/>
                <w:sz w:val="24"/>
                <w:szCs w:val="24"/>
              </w:rPr>
            </w:pPr>
          </w:p>
        </w:tc>
      </w:tr>
    </w:tbl>
    <w:p w:rsidR="002D05B8" w:rsidRDefault="002D05B8" w:rsidP="002D05B8">
      <w:pPr>
        <w:widowControl w:val="0"/>
        <w:autoSpaceDE w:val="0"/>
        <w:autoSpaceDN w:val="0"/>
        <w:adjustRightInd w:val="0"/>
        <w:jc w:val="both"/>
        <w:rPr>
          <w:rFonts w:ascii="Times New Roman CYR" w:hAnsi="Times New Roman CYR" w:cs="Times New Roman CYR"/>
          <w:sz w:val="24"/>
          <w:szCs w:val="24"/>
        </w:rPr>
      </w:pPr>
      <w:r>
        <w:rPr>
          <w:rFonts w:ascii="Times New Roman CYR" w:hAnsi="Times New Roman CYR" w:cs="Times New Roman CYR"/>
          <w:color w:val="333333"/>
          <w:sz w:val="24"/>
          <w:szCs w:val="24"/>
        </w:rPr>
        <w:t> </w:t>
      </w:r>
    </w:p>
    <w:p w:rsidR="00000000" w:rsidRDefault="002D05B8"/>
    <w:sectPr w:rsidR="00000000">
      <w:pgSz w:w="12240" w:h="15840"/>
      <w:pgMar w:top="850" w:right="850" w:bottom="850" w:left="1417" w:header="708" w:footer="708"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D05B8"/>
    <w:rsid w:val="002D05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05B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05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1624</Words>
  <Characters>927</Characters>
  <Application>Microsoft Office Word</Application>
  <DocSecurity>0</DocSecurity>
  <Lines>7</Lines>
  <Paragraphs>5</Paragraphs>
  <ScaleCrop>false</ScaleCrop>
  <Company>Krokoz™ Inc.</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SR-1</dc:creator>
  <cp:keywords/>
  <dc:description/>
  <cp:lastModifiedBy>SR-1</cp:lastModifiedBy>
  <cp:revision>2</cp:revision>
  <dcterms:created xsi:type="dcterms:W3CDTF">2016-07-09T12:44:00Z</dcterms:created>
  <dcterms:modified xsi:type="dcterms:W3CDTF">2016-07-09T12:44:00Z</dcterms:modified>
</cp:coreProperties>
</file>